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08" w:rsidRPr="00504049" w:rsidRDefault="00C81308" w:rsidP="00D26E62">
      <w:pPr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504049">
        <w:rPr>
          <w:rFonts w:ascii="Arial" w:hAnsi="Arial" w:cs="Arial"/>
          <w:b/>
          <w:color w:val="1F1F1F"/>
          <w:shd w:val="clear" w:color="auto" w:fill="FFFFFF"/>
        </w:rPr>
        <w:t>Procedimientos / protocolos/ procesos de trabajo en laboratorio.</w:t>
      </w:r>
    </w:p>
    <w:p w:rsidR="00D26E62" w:rsidRDefault="00196CEF" w:rsidP="00C81308">
      <w:pPr>
        <w:jc w:val="both"/>
        <w:rPr>
          <w:rFonts w:ascii="Arial" w:hAnsi="Arial" w:cs="Arial"/>
          <w:color w:val="1F1F1F"/>
          <w:shd w:val="clear" w:color="auto" w:fill="FFFFFF"/>
        </w:rPr>
      </w:pPr>
      <w:r w:rsidRPr="00C81308">
        <w:rPr>
          <w:rFonts w:ascii="Arial" w:hAnsi="Arial" w:cs="Arial"/>
        </w:rPr>
        <w:t>Estarán</w:t>
      </w:r>
      <w:r w:rsidRPr="00D26E62">
        <w:rPr>
          <w:rFonts w:ascii="Arial" w:hAnsi="Arial" w:cs="Arial"/>
        </w:rPr>
        <w:t xml:space="preserve"> a disposición de los trabajadores </w:t>
      </w:r>
      <w:r w:rsidR="00C81308">
        <w:rPr>
          <w:rFonts w:ascii="Arial" w:hAnsi="Arial" w:cs="Arial"/>
        </w:rPr>
        <w:t xml:space="preserve">los </w:t>
      </w:r>
      <w:r w:rsidR="00C81308">
        <w:rPr>
          <w:rFonts w:ascii="Arial" w:hAnsi="Arial" w:cs="Arial"/>
          <w:color w:val="1F1F1F"/>
          <w:shd w:val="clear" w:color="auto" w:fill="FFFFFF"/>
        </w:rPr>
        <w:t>p</w:t>
      </w:r>
      <w:r w:rsidR="00C81308" w:rsidRPr="00C81308">
        <w:rPr>
          <w:rFonts w:ascii="Arial" w:hAnsi="Arial" w:cs="Arial"/>
          <w:color w:val="1F1F1F"/>
          <w:shd w:val="clear" w:color="auto" w:fill="FFFFFF"/>
        </w:rPr>
        <w:t>rocedimientos / protocolos/ procesos de trabajo</w:t>
      </w:r>
      <w:r w:rsidR="00C81308">
        <w:rPr>
          <w:rFonts w:ascii="Arial" w:hAnsi="Arial" w:cs="Arial"/>
          <w:color w:val="1F1F1F"/>
          <w:shd w:val="clear" w:color="auto" w:fill="FFFFFF"/>
        </w:rPr>
        <w:t xml:space="preserve"> que sean realizados en el laboratorio /granja /taller. Se prestará especial atención a aquellas etapas o aspectos que impliquen mayor riesgo o peligrosidad. Necesariamente todos los trabajadores recibirán la formación adecuada antes de desempeñar los trabajos pudiendo basarse en los p</w:t>
      </w:r>
      <w:r w:rsidR="00C81308" w:rsidRPr="00C81308">
        <w:rPr>
          <w:rFonts w:ascii="Arial" w:hAnsi="Arial" w:cs="Arial"/>
          <w:color w:val="1F1F1F"/>
          <w:shd w:val="clear" w:color="auto" w:fill="FFFFFF"/>
        </w:rPr>
        <w:t>rocedimientos / protocolos/ procesos de trabajo</w:t>
      </w:r>
      <w:r w:rsidR="00C81308">
        <w:rPr>
          <w:rFonts w:ascii="Arial" w:hAnsi="Arial" w:cs="Arial"/>
          <w:color w:val="1F1F1F"/>
          <w:shd w:val="clear" w:color="auto" w:fill="FFFFFF"/>
        </w:rPr>
        <w:t xml:space="preserve"> aprobados por la Dirección.</w:t>
      </w:r>
    </w:p>
    <w:p w:rsidR="00C81308" w:rsidRPr="00E05240" w:rsidRDefault="00C81308" w:rsidP="00C81308">
      <w:pPr>
        <w:jc w:val="both"/>
        <w:rPr>
          <w:rFonts w:ascii="Arial" w:hAnsi="Arial" w:cs="Arial"/>
        </w:rPr>
      </w:pPr>
      <w:bookmarkStart w:id="0" w:name="_GoBack"/>
      <w:bookmarkEnd w:id="0"/>
    </w:p>
    <w:p w:rsidR="00E05240" w:rsidRPr="00E05240" w:rsidRDefault="00E05240" w:rsidP="00C81308">
      <w:pPr>
        <w:jc w:val="both"/>
        <w:rPr>
          <w:rFonts w:ascii="Arial" w:hAnsi="Arial" w:cs="Arial"/>
        </w:rPr>
      </w:pPr>
      <w:r w:rsidRPr="00E05240">
        <w:rPr>
          <w:rFonts w:ascii="Arial" w:hAnsi="Arial" w:cs="Arial"/>
        </w:rPr>
        <w:t xml:space="preserve">Los Procedimientos Normalizados de Trabajo (PNT) son documentos escritos que describen la secuencia específica de operaciones y métodos que deben aplicarse en el laboratorio para una finalidad determinada. Proporcionan una manera única según la cual deberá realizarse la operación cada vez que se repita en el laboratorio. </w:t>
      </w:r>
      <w:r w:rsidR="00D602DD">
        <w:rPr>
          <w:rFonts w:ascii="Arial" w:hAnsi="Arial" w:cs="Arial"/>
        </w:rPr>
        <w:t>Su</w:t>
      </w:r>
      <w:r w:rsidRPr="00E05240">
        <w:rPr>
          <w:rFonts w:ascii="Arial" w:hAnsi="Arial" w:cs="Arial"/>
        </w:rPr>
        <w:t xml:space="preserve"> finalidad fundamental es establecer cómo, quién, y cuándo debe realizarse una actividad allí prevista.</w:t>
      </w:r>
    </w:p>
    <w:p w:rsidR="00E05240" w:rsidRDefault="00E05240" w:rsidP="00C81308">
      <w:pPr>
        <w:jc w:val="both"/>
        <w:rPr>
          <w:rFonts w:ascii="Arial" w:hAnsi="Arial" w:cs="Arial"/>
        </w:rPr>
      </w:pPr>
    </w:p>
    <w:p w:rsidR="00C81308" w:rsidRDefault="00C81308" w:rsidP="00C81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Modelo general de un Procedimiento de Trabajo</w:t>
      </w:r>
      <w:r w:rsidR="00E00C90">
        <w:rPr>
          <w:rFonts w:ascii="Arial" w:hAnsi="Arial" w:cs="Arial"/>
        </w:rPr>
        <w:t>:</w:t>
      </w:r>
    </w:p>
    <w:p w:rsidR="00E05240" w:rsidRDefault="00E05240" w:rsidP="00C81308">
      <w:pPr>
        <w:jc w:val="both"/>
        <w:rPr>
          <w:rFonts w:ascii="Arial" w:hAnsi="Arial" w:cs="Arial"/>
        </w:rPr>
      </w:pPr>
    </w:p>
    <w:p w:rsidR="003A1B70" w:rsidRDefault="003A1B70" w:rsidP="00D26E6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6CD44" wp14:editId="609DA93B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Introducción: es optativa y se coloca, en su caso, al inicio del texto.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Objeto: debe describir claramente el propósito del PNT.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Campo de aplicación: establece el campo al cual se aplica el mencionado procedimiento de trabajo.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Referencias: se cita cualquier documento relacionado o utilizado en la preparación (normas, Manual de Calidad, otros PNT, etc.).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Definiciones: en caso necesario, se dan las definiciones de los términos no comunes que aparecen en el procedimiento.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Responsabilidades: puede hacerse referencia al responsable de la implantación del PNT y a la persona o grupo de personas que deben realizar las actividades del procedimiento.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Procedimiento: se describen y detallan como tienen que llevarse a cabo las acciones necesarias para conseguir el objetivo del procedimiento. </w:t>
                            </w:r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240">
                              <w:rPr>
                                <w:rFonts w:ascii="Arial" w:hAnsi="Arial" w:cs="Arial"/>
                              </w:rPr>
                              <w:t xml:space="preserve">● ANEXOS: en caso necesario se incluyen tablas, esquemas, figuras, </w:t>
                            </w:r>
                            <w:proofErr w:type="spellStart"/>
                            <w:r w:rsidRPr="00E05240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</w:p>
                          <w:p w:rsidR="003A1B70" w:rsidRPr="00E05240" w:rsidRDefault="003A1B70" w:rsidP="003A1B7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6CD4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" filled="f" strokeweight=".5pt">
                <v:textbox style="mso-fit-shape-to-text:t">
                  <w:txbxContent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Introducción: es optativa y se coloca, en su caso, al inicio del texto.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Objeto: debe describir claramente el propósito del PNT.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Campo de aplicación: establece el campo al cual se aplica el mencionado procedimiento de trabajo.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Referencias: se cita cualquier documento relacionado o utilizado en la preparación (normas, Manual de Calidad, otros PNT, etc.).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Definiciones: en caso necesario, se dan las definiciones de los términos no comunes que aparecen en el procedimiento.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Responsabilidades: puede hacerse referencia al responsable de la implantación del PNT y a la persona o grupo de personas que deben realizar las actividades del procedimiento.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Procedimiento: se describen y detallan como tienen que llevarse a cabo las acciones necesarias para conseguir el objetivo del procedimiento. </w:t>
                      </w:r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5240">
                        <w:rPr>
                          <w:rFonts w:ascii="Arial" w:hAnsi="Arial" w:cs="Arial"/>
                        </w:rPr>
                        <w:t xml:space="preserve">● ANEXOS: en caso necesario se incluyen tablas, esquemas, figuras, </w:t>
                      </w:r>
                      <w:proofErr w:type="spellStart"/>
                      <w:r w:rsidRPr="00E05240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</w:p>
                    <w:p w:rsidR="003A1B70" w:rsidRPr="00E05240" w:rsidRDefault="003A1B70" w:rsidP="003A1B7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B70" w:rsidRDefault="003A1B70" w:rsidP="00D26E62">
      <w:pPr>
        <w:jc w:val="both"/>
        <w:rPr>
          <w:rFonts w:ascii="Arial" w:hAnsi="Arial" w:cs="Arial"/>
        </w:rPr>
      </w:pPr>
    </w:p>
    <w:p w:rsidR="003A1B70" w:rsidRDefault="003A1B70" w:rsidP="00D26E62">
      <w:pPr>
        <w:jc w:val="both"/>
        <w:rPr>
          <w:rFonts w:ascii="Arial" w:hAnsi="Arial" w:cs="Arial"/>
        </w:rPr>
      </w:pPr>
    </w:p>
    <w:p w:rsidR="003A1B70" w:rsidRDefault="003A1B70" w:rsidP="00D26E62">
      <w:pPr>
        <w:jc w:val="both"/>
        <w:rPr>
          <w:rFonts w:ascii="Arial" w:hAnsi="Arial" w:cs="Arial"/>
        </w:rPr>
      </w:pPr>
    </w:p>
    <w:p w:rsidR="003A1B70" w:rsidRDefault="003A1B70" w:rsidP="00D26E62">
      <w:pPr>
        <w:jc w:val="both"/>
        <w:rPr>
          <w:rFonts w:ascii="Arial" w:hAnsi="Arial" w:cs="Arial"/>
        </w:rPr>
      </w:pPr>
    </w:p>
    <w:p w:rsidR="003A1B70" w:rsidRDefault="003A1B70" w:rsidP="00D26E62">
      <w:pPr>
        <w:jc w:val="both"/>
        <w:rPr>
          <w:rFonts w:ascii="Arial" w:hAnsi="Arial" w:cs="Arial"/>
        </w:rPr>
      </w:pPr>
    </w:p>
    <w:p w:rsidR="003A1B70" w:rsidRDefault="003A1B70" w:rsidP="003A1B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ndara" w:hAnsi="Candara" w:cs="Arial"/>
          <w:b/>
        </w:rPr>
      </w:pPr>
      <w:r>
        <w:rPr>
          <w:rFonts w:ascii="Arial" w:hAnsi="Arial" w:cs="Arial"/>
        </w:rPr>
        <w:lastRenderedPageBreak/>
        <w:t>Ejemplos de protocolos / procesos de un laboratorio:</w:t>
      </w:r>
    </w:p>
    <w:p w:rsidR="003A1B70" w:rsidRDefault="003A1B70" w:rsidP="003A1B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Técnicas analíticas de suelo:</w:t>
      </w:r>
    </w:p>
    <w:tbl>
      <w:tblPr>
        <w:tblStyle w:val="Tablaconcuadrcula"/>
        <w:tblW w:w="9923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781"/>
        <w:gridCol w:w="5142"/>
      </w:tblGrid>
      <w:tr w:rsidR="003A1B70" w:rsidTr="003A1B70">
        <w:tc>
          <w:tcPr>
            <w:tcW w:w="99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3A1B70" w:rsidRDefault="003A1B70">
            <w:pPr>
              <w:spacing w:line="360" w:lineRule="auto"/>
              <w:jc w:val="center"/>
              <w:rPr>
                <w:rFonts w:ascii="Candara" w:hAnsi="Candara" w:cstheme="minorHAnsi"/>
                <w:b/>
                <w:i/>
                <w:color w:val="FFFFFF" w:themeColor="background1"/>
                <w:u w:val="single"/>
                <w:lang w:val="es-ES_tradnl"/>
              </w:rPr>
            </w:pPr>
            <w:r>
              <w:rPr>
                <w:rFonts w:ascii="Candara" w:hAnsi="Candara" w:cstheme="minorHAnsi"/>
                <w:b/>
                <w:i/>
                <w:color w:val="FFFFFF" w:themeColor="background1"/>
                <w:u w:val="single"/>
                <w:lang w:val="es-ES_tradnl"/>
              </w:rPr>
              <w:t>Reacción del suelo o pH</w:t>
            </w:r>
          </w:p>
        </w:tc>
      </w:tr>
      <w:tr w:rsidR="003A1B70" w:rsidTr="003A1B70">
        <w:tc>
          <w:tcPr>
            <w:tcW w:w="99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jc w:val="both"/>
              <w:rPr>
                <w:rFonts w:ascii="Candara" w:hAnsi="Candara" w:cs="Times New Roman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Descripción de la técnica:</w:t>
            </w:r>
          </w:p>
          <w:p w:rsidR="003A1B70" w:rsidRDefault="003A1B70">
            <w:pPr>
              <w:pStyle w:val="Prrafodelista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 w:cstheme="minorHAnsi"/>
                <w:sz w:val="20"/>
                <w:szCs w:val="20"/>
                <w:lang w:val="es-ES_tradnl" w:eastAsia="en-US"/>
              </w:rPr>
              <w:t>La determinación del pH de un suelo se basa en la medida de la diferencia de potencial existente entre un electrodo de vidrio y el electrodo de referencia calomelanos (Hg2Cl2 (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  <w:lang w:val="es-ES_tradnl" w:eastAsia="en-US"/>
              </w:rPr>
              <w:t>sat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  <w:lang w:val="es-ES_tradnl" w:eastAsia="en-US"/>
              </w:rPr>
              <w:t>), KCl(</w:t>
            </w:r>
            <w:proofErr w:type="spellStart"/>
            <w:r>
              <w:rPr>
                <w:rFonts w:ascii="Candara" w:hAnsi="Candara" w:cstheme="minorHAnsi"/>
                <w:sz w:val="20"/>
                <w:szCs w:val="20"/>
                <w:lang w:val="es-ES_tradnl" w:eastAsia="en-US"/>
              </w:rPr>
              <w:t>xF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  <w:lang w:val="es-ES_tradnl" w:eastAsia="en-US"/>
              </w:rPr>
              <w:t xml:space="preserve">)/Hg) sumergidos en una misma disolución. </w:t>
            </w:r>
          </w:p>
        </w:tc>
      </w:tr>
      <w:tr w:rsidR="003A1B70" w:rsidTr="003A1B70">
        <w:trPr>
          <w:trHeight w:val="960"/>
        </w:trPr>
        <w:tc>
          <w:tcPr>
            <w:tcW w:w="47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 xml:space="preserve">Equipos </w:t>
            </w:r>
            <w:proofErr w:type="gramStart"/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empleados(</w:t>
            </w:r>
            <w:proofErr w:type="gramEnd"/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1):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sz w:val="18"/>
                <w:szCs w:val="18"/>
                <w:lang w:eastAsia="en-US"/>
              </w:rPr>
              <w:t>Agitador rotativo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sz w:val="18"/>
                <w:szCs w:val="18"/>
                <w:lang w:eastAsia="en-US"/>
              </w:rPr>
              <w:t>Peso de precisión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ndara" w:hAnsi="Candara" w:cstheme="minorHAnsi"/>
                <w:sz w:val="18"/>
                <w:szCs w:val="18"/>
                <w:lang w:eastAsia="en-US"/>
              </w:rPr>
              <w:t>Phmetro</w:t>
            </w:r>
            <w:proofErr w:type="spellEnd"/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sz w:val="18"/>
                <w:szCs w:val="18"/>
                <w:lang w:eastAsia="en-US"/>
              </w:rPr>
              <w:t>Centrifuga</w:t>
            </w:r>
          </w:p>
          <w:p w:rsidR="003A1B70" w:rsidRDefault="003A1B7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Los riesgos de estos equipos se encuentran descritos en el apartado 5.8.1.</w:t>
            </w:r>
          </w:p>
        </w:tc>
        <w:tc>
          <w:tcPr>
            <w:tcW w:w="5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Productos químicos empleados: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No se emplean.</w:t>
            </w:r>
          </w:p>
        </w:tc>
      </w:tr>
      <w:tr w:rsidR="003A1B70" w:rsidTr="003A1B70">
        <w:trPr>
          <w:trHeight w:val="675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jc w:val="both"/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Formación requerida.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 xml:space="preserve">Formación e información adecuadas sobre los riesgos derivados de la utilización de los equipos de </w:t>
            </w:r>
            <w:proofErr w:type="gramStart"/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trabajo</w:t>
            </w:r>
            <w:proofErr w:type="gramEnd"/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 xml:space="preserve"> así como sobre las medidas de prevención y protección que hallan de adoptarse (R.D.1215/1997).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Formación del programa de acogida del laboratorio.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b/>
                <w:i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Formación práctica en la técnica, previa a la autorización para su realización.</w:t>
            </w:r>
          </w:p>
        </w:tc>
      </w:tr>
      <w:tr w:rsidR="003A1B70" w:rsidTr="003A1B70">
        <w:trPr>
          <w:trHeight w:val="915"/>
        </w:trPr>
        <w:tc>
          <w:tcPr>
            <w:tcW w:w="4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ind w:left="-77"/>
              <w:jc w:val="both"/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Autorizaciones requeridas.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No se requiere autorización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3A1B70" w:rsidRDefault="003A1B7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trHeight w:val="1821"/>
        </w:trPr>
        <w:tc>
          <w:tcPr>
            <w:tcW w:w="47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jc w:val="both"/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Identificación de los riesgos.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Proyección de partículas debido a la posible proyección de fluidos durante la agitación de la muestra.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Fatiga física por movimientos repetitivos brazo y muñeca durante la medida la muestra.</w:t>
            </w:r>
          </w:p>
          <w:p w:rsidR="003A1B70" w:rsidRDefault="003A1B70">
            <w:pPr>
              <w:jc w:val="both"/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trHeight w:val="540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1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Elementos significativos para la realización del procedimiento en condiciones de seguridad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El agitador magnético no debe colocarse en la posición de máxima potencia para evitar la proyección de fluidos.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Al terminar la medición PH se deberá realizar la limpieza adecuado de la zona de trabajo equipo y material empleado.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A la hora de utilizar la centrifuga debe conocerse el manejo de la misma. Es importante tener una precaución especial al manejar el material investigado debido a que la rotura de los tubos puede ensuciar el mecanismo interno de la centrifuga.</w:t>
            </w:r>
          </w:p>
        </w:tc>
      </w:tr>
      <w:tr w:rsidR="003A1B70" w:rsidTr="003A1B70">
        <w:trPr>
          <w:trHeight w:val="810"/>
        </w:trPr>
        <w:tc>
          <w:tcPr>
            <w:tcW w:w="4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jc w:val="both"/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Medios de protección colectiva.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No se emplean.</w:t>
            </w:r>
          </w:p>
          <w:p w:rsidR="003A1B70" w:rsidRDefault="003A1B70">
            <w:pPr>
              <w:jc w:val="both"/>
              <w:rPr>
                <w:rFonts w:ascii="Candara" w:hAnsi="Candara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trHeight w:val="1155"/>
        </w:trPr>
        <w:tc>
          <w:tcPr>
            <w:tcW w:w="4781" w:type="dxa"/>
            <w:vMerge w:val="restart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jc w:val="both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  <w:t>Medidas específicas del proceso en caso de emergencia</w:t>
            </w:r>
          </w:p>
          <w:p w:rsidR="003A1B70" w:rsidRDefault="003A1B70">
            <w:pPr>
              <w:jc w:val="both"/>
              <w:rPr>
                <w:rFonts w:ascii="Candara" w:hAnsi="Candara"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sz w:val="20"/>
                <w:szCs w:val="20"/>
                <w:lang w:val="es-ES_tradnl"/>
              </w:rPr>
              <w:t>Durante la realización de esta técnica no se contempla la aparición de situaciones de emergencia relevantes asociadas al desarrollo de la misma.</w:t>
            </w: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trHeight w:val="507"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Medios de protección individual.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Bata de laboratorio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sz w:val="20"/>
                <w:szCs w:val="20"/>
                <w:lang w:val="es-ES_tradnl" w:eastAsia="en-US"/>
              </w:rPr>
              <w:t>Guantes de látex marcado CE EN 374.</w:t>
            </w:r>
          </w:p>
          <w:p w:rsidR="003A1B70" w:rsidRDefault="003A1B70">
            <w:pPr>
              <w:pStyle w:val="Prrafodelista"/>
              <w:ind w:left="283"/>
              <w:jc w:val="both"/>
              <w:rPr>
                <w:rFonts w:ascii="Candara" w:hAnsi="Candara"/>
                <w:sz w:val="20"/>
                <w:szCs w:val="20"/>
                <w:lang w:val="es-ES_tradnl" w:eastAsia="en-US"/>
              </w:rPr>
            </w:pPr>
          </w:p>
        </w:tc>
      </w:tr>
      <w:tr w:rsidR="003A1B70" w:rsidTr="003A1B70"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  <w:lang w:val="es-ES_tradnl"/>
              </w:rPr>
              <w:t>Gestión de residuos.</w:t>
            </w:r>
          </w:p>
          <w:p w:rsidR="003A1B70" w:rsidRDefault="003A1B70">
            <w:pPr>
              <w:jc w:val="both"/>
              <w:rPr>
                <w:rFonts w:ascii="Candara" w:hAnsi="Candara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sz w:val="20"/>
                <w:szCs w:val="20"/>
                <w:lang w:val="es-ES_tradnl"/>
              </w:rPr>
              <w:t>Verter por desagüe.</w:t>
            </w:r>
          </w:p>
        </w:tc>
      </w:tr>
    </w:tbl>
    <w:p w:rsidR="003A1B70" w:rsidRDefault="003A1B70" w:rsidP="003A1B70">
      <w:pPr>
        <w:spacing w:after="200" w:line="276" w:lineRule="auto"/>
        <w:rPr>
          <w:rFonts w:ascii="Times New Roman" w:hAnsi="Times New Roman"/>
          <w:sz w:val="24"/>
          <w:szCs w:val="24"/>
          <w:lang w:eastAsia="es-ES"/>
        </w:rPr>
      </w:pPr>
    </w:p>
    <w:p w:rsidR="003A1B70" w:rsidRDefault="003A1B70" w:rsidP="003A1B70"/>
    <w:p w:rsidR="003A1B70" w:rsidRDefault="003A1B70" w:rsidP="003A1B70"/>
    <w:p w:rsidR="003A1B70" w:rsidRDefault="003A1B70" w:rsidP="003A1B70">
      <w:pPr>
        <w:spacing w:after="200" w:line="276" w:lineRule="auto"/>
      </w:pPr>
      <w:r>
        <w:br w:type="page"/>
      </w:r>
    </w:p>
    <w:tbl>
      <w:tblPr>
        <w:tblStyle w:val="Listaclara-nfasis5"/>
        <w:tblW w:w="9923" w:type="dxa"/>
        <w:tblInd w:w="-45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83"/>
      </w:tblGrid>
      <w:tr w:rsidR="003A1B70" w:rsidTr="003A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:rsidR="003A1B70" w:rsidRDefault="003A1B70">
            <w:pPr>
              <w:spacing w:line="360" w:lineRule="auto"/>
              <w:jc w:val="center"/>
              <w:rPr>
                <w:rFonts w:ascii="Candara" w:hAnsi="Candara" w:cstheme="minorHAnsi"/>
                <w:i/>
                <w:u w:val="single"/>
                <w:lang w:val="es-ES_tradnl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rFonts w:ascii="Candara" w:hAnsi="Candara" w:cstheme="minorHAnsi"/>
                <w:i/>
                <w:u w:val="single"/>
                <w:lang w:val="es-ES_tradnl"/>
              </w:rPr>
              <w:t>Conductividad eléctrica.</w:t>
            </w:r>
          </w:p>
        </w:tc>
      </w:tr>
      <w:tr w:rsidR="003A1B70" w:rsidTr="003A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jc w:val="both"/>
              <w:rPr>
                <w:rFonts w:ascii="Candara" w:hAnsi="Candara" w:cs="Times New Roman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Descripción de la técnica:</w:t>
            </w:r>
          </w:p>
          <w:p w:rsidR="003A1B70" w:rsidRDefault="003A1B70">
            <w:pPr>
              <w:pStyle w:val="Prrafodelista"/>
              <w:jc w:val="both"/>
              <w:rPr>
                <w:rFonts w:ascii="Candara" w:hAnsi="Candara" w:cstheme="minorHAnsi"/>
                <w:b w:val="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 w:cstheme="minorHAnsi"/>
                <w:b w:val="0"/>
                <w:sz w:val="20"/>
                <w:szCs w:val="20"/>
                <w:lang w:val="es-ES_tradnl" w:eastAsia="en-US"/>
              </w:rPr>
              <w:t xml:space="preserve">La conductividad eléctrica de un extracto acuoso es la aptitud que presenta éste para transmitir la corriente eléctrica. La conductividad depende de la actividad </w:t>
            </w:r>
            <w:proofErr w:type="gramStart"/>
            <w:r>
              <w:rPr>
                <w:rFonts w:ascii="Candara" w:hAnsi="Candara" w:cstheme="minorHAnsi"/>
                <w:b w:val="0"/>
                <w:sz w:val="20"/>
                <w:szCs w:val="20"/>
                <w:lang w:val="es-ES_tradnl" w:eastAsia="en-US"/>
              </w:rPr>
              <w:t>e</w:t>
            </w:r>
            <w:proofErr w:type="gramEnd"/>
            <w:r>
              <w:rPr>
                <w:rFonts w:ascii="Candara" w:hAnsi="Candara" w:cstheme="minorHAnsi"/>
                <w:b w:val="0"/>
                <w:sz w:val="20"/>
                <w:szCs w:val="20"/>
                <w:lang w:val="es-ES_tradnl" w:eastAsia="en-US"/>
              </w:rPr>
              <w:t xml:space="preserve"> iones disueltos y de la temperatura a la que se realiza la medida. </w:t>
            </w:r>
          </w:p>
          <w:p w:rsidR="003A1B70" w:rsidRDefault="003A1B70">
            <w:pPr>
              <w:pStyle w:val="Prrafodelista"/>
              <w:jc w:val="both"/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3A1B70" w:rsidTr="003A1B7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 xml:space="preserve">Equipos </w:t>
            </w:r>
            <w:proofErr w:type="gramStart"/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empleados(</w:t>
            </w:r>
            <w:proofErr w:type="gramEnd"/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1):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  <w:t>Agitador rotativo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  <w:t>Peso de precisión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  <w:t>Conductímetro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="Candara" w:hAnsi="Candara" w:cstheme="minorHAnsi"/>
                <w:b w:val="0"/>
                <w:sz w:val="18"/>
                <w:szCs w:val="18"/>
                <w:lang w:eastAsia="en-US"/>
              </w:rPr>
              <w:t>Centrifuga</w:t>
            </w:r>
          </w:p>
          <w:p w:rsidR="003A1B70" w:rsidRDefault="003A1B70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Los riesgos de estos equipos se encuentran descritos en el apartado 5.8.1.</w:t>
            </w:r>
          </w:p>
        </w:tc>
        <w:tc>
          <w:tcPr>
            <w:tcW w:w="46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  <w:t>Productos químicos empleados: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No se emplean.</w:t>
            </w:r>
          </w:p>
        </w:tc>
      </w:tr>
      <w:tr w:rsidR="003A1B70" w:rsidTr="003A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  <w:t>Formación requerida.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 xml:space="preserve">Formación e información adecuadas sobre los riesgos derivados de la utilización de los equipos de </w:t>
            </w:r>
            <w:proofErr w:type="gramStart"/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trabajo</w:t>
            </w:r>
            <w:proofErr w:type="gramEnd"/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 xml:space="preserve"> así como sobre las medidas de prevención y protección que hallan de adoptarse (R.D.1215/1997).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Formación del programa de acogida del laboratorio.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Formación práctica en la técnica, previa a la autorización para su realización.</w:t>
            </w:r>
          </w:p>
        </w:tc>
      </w:tr>
      <w:tr w:rsidR="003A1B70" w:rsidTr="003A1B70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ind w:left="-77"/>
              <w:jc w:val="both"/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Autorizaciones requeridas.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b w:val="0"/>
                <w:sz w:val="20"/>
                <w:szCs w:val="20"/>
                <w:lang w:val="es-ES_tradnl" w:eastAsia="en-US"/>
              </w:rPr>
              <w:t>No se requiere autorización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:rsidR="003A1B70" w:rsidRDefault="003A1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b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jc w:val="both"/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Identificación de los riesgos.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  <w:t>Proyección de partículas debido a la posible proyección de fluidos durante la agitación de la muestra.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  <w:t>Fatiga física por movimientos repetitivos brazo y muñeca durante la medida la muestra.</w:t>
            </w:r>
          </w:p>
          <w:p w:rsidR="003A1B70" w:rsidRDefault="003A1B70">
            <w:pPr>
              <w:jc w:val="both"/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b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  <w:t>Elementos significativos para la realización del procedimiento en condiciones de seguridad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El agitador magnético no debe colocarse en la posición de máxima potencia para evitar la proyección de fluidos.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Al terminar la medición CE se deberá realizar la limpieza adecuado de la zona de trabajo equipo y material empleado.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A la hora de utilizar la centrifuga debe conocerse el manejo de la misma. Es importante tener una precaución especial al manejar el material investigado debido a que la rotura de los tubos puede ensuciar el mecanismo interno de la centrifuga.</w:t>
            </w:r>
          </w:p>
        </w:tc>
      </w:tr>
      <w:tr w:rsidR="003A1B70" w:rsidTr="003A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jc w:val="both"/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Medios de protección colectiva.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b w:val="0"/>
                <w:color w:val="000000"/>
                <w:sz w:val="20"/>
                <w:szCs w:val="20"/>
                <w:lang w:val="es-ES_tradnl" w:eastAsia="en-US"/>
              </w:rPr>
              <w:t>No se emplean.</w:t>
            </w:r>
          </w:p>
          <w:p w:rsidR="003A1B70" w:rsidRDefault="003A1B70">
            <w:pPr>
              <w:jc w:val="both"/>
              <w:rPr>
                <w:rFonts w:ascii="Candara" w:hAnsi="Candara"/>
                <w:b w:val="0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jc w:val="both"/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i/>
                <w:color w:val="000000"/>
                <w:sz w:val="20"/>
                <w:szCs w:val="20"/>
                <w:lang w:val="es-ES_tradnl"/>
              </w:rPr>
              <w:t>Medidas específicas del proceso en caso de emergencia</w:t>
            </w:r>
          </w:p>
          <w:p w:rsidR="003A1B70" w:rsidRDefault="003A1B70">
            <w:pPr>
              <w:jc w:val="both"/>
              <w:rPr>
                <w:rFonts w:ascii="Candara" w:hAnsi="Candara"/>
                <w:b w:val="0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 w:val="0"/>
                <w:sz w:val="20"/>
                <w:szCs w:val="20"/>
                <w:lang w:val="es-ES_tradnl"/>
              </w:rPr>
              <w:t>Durante la realización de esta técnica no se contempla la aparición de situaciones de emergencia relevantes asociadas al desarrollo de la misma.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A1B70" w:rsidTr="003A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</w:tcPr>
          <w:p w:rsidR="003A1B70" w:rsidRDefault="003A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  <w:t>Medios de protección individual.</w:t>
            </w:r>
          </w:p>
          <w:p w:rsidR="003A1B70" w:rsidRDefault="003A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</w:pP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Bata de laboratorio</w:t>
            </w:r>
          </w:p>
          <w:p w:rsidR="003A1B70" w:rsidRDefault="003A1B70" w:rsidP="004C7B45">
            <w:pPr>
              <w:pStyle w:val="Prrafodelista"/>
              <w:numPr>
                <w:ilvl w:val="0"/>
                <w:numId w:val="2"/>
              </w:numPr>
              <w:ind w:left="459" w:hanging="4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 w:eastAsia="en-US"/>
              </w:rPr>
              <w:t>Guantes de látex marcado CE EN 374.</w:t>
            </w:r>
          </w:p>
          <w:p w:rsidR="003A1B70" w:rsidRDefault="003A1B70">
            <w:pPr>
              <w:pStyle w:val="Prrafodelista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3A1B70" w:rsidTr="003A1B7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3A1B70" w:rsidRDefault="003A1B70">
            <w:pPr>
              <w:rPr>
                <w:rFonts w:ascii="Candara" w:hAnsi="Candara" w:cs="Times New Roman"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hideMark/>
          </w:tcPr>
          <w:p w:rsidR="003A1B70" w:rsidRDefault="003A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  <w:lang w:val="es-ES_tradnl"/>
              </w:rPr>
              <w:t>Gestión de residuos.</w:t>
            </w:r>
          </w:p>
          <w:p w:rsidR="003A1B70" w:rsidRDefault="003A1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es-ES_tradnl"/>
              </w:rPr>
              <w:t>Verter por desagüe</w:t>
            </w:r>
          </w:p>
        </w:tc>
      </w:tr>
    </w:tbl>
    <w:p w:rsidR="003A1B70" w:rsidRDefault="003A1B70" w:rsidP="003A1B70">
      <w:pPr>
        <w:spacing w:after="200" w:line="276" w:lineRule="auto"/>
        <w:rPr>
          <w:rFonts w:ascii="Times New Roman" w:hAnsi="Times New Roman"/>
          <w:sz w:val="24"/>
          <w:szCs w:val="24"/>
          <w:lang w:eastAsia="es-ES"/>
        </w:rPr>
      </w:pPr>
    </w:p>
    <w:p w:rsidR="003A1B70" w:rsidRDefault="003A1B70" w:rsidP="003A1B70"/>
    <w:p w:rsidR="003A1B70" w:rsidRDefault="003A1B70" w:rsidP="003A1B70"/>
    <w:p w:rsidR="00A25236" w:rsidRPr="00D26E62" w:rsidRDefault="00A25236" w:rsidP="00D26E62">
      <w:pPr>
        <w:jc w:val="both"/>
        <w:rPr>
          <w:rFonts w:ascii="Arial" w:hAnsi="Arial" w:cs="Arial"/>
        </w:rPr>
      </w:pPr>
    </w:p>
    <w:sectPr w:rsidR="00A25236" w:rsidRPr="00D26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297"/>
    <w:multiLevelType w:val="hybridMultilevel"/>
    <w:tmpl w:val="61522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847"/>
    <w:multiLevelType w:val="hybridMultilevel"/>
    <w:tmpl w:val="81D4183C"/>
    <w:lvl w:ilvl="0" w:tplc="61545E98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6"/>
    <w:rsid w:val="00003E92"/>
    <w:rsid w:val="00196CEF"/>
    <w:rsid w:val="003A1B70"/>
    <w:rsid w:val="00504049"/>
    <w:rsid w:val="005D00B3"/>
    <w:rsid w:val="00766451"/>
    <w:rsid w:val="00A25236"/>
    <w:rsid w:val="00B7563F"/>
    <w:rsid w:val="00C81308"/>
    <w:rsid w:val="00D26E62"/>
    <w:rsid w:val="00D602DD"/>
    <w:rsid w:val="00E00C90"/>
    <w:rsid w:val="00E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5A7C-D51D-4B7F-A775-429315B5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B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A1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semiHidden/>
    <w:unhideWhenUsed/>
    <w:rsid w:val="003A1B7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de Miguel</dc:creator>
  <cp:keywords/>
  <dc:description/>
  <cp:lastModifiedBy>Juan Manuel de Miguel</cp:lastModifiedBy>
  <cp:revision>7</cp:revision>
  <dcterms:created xsi:type="dcterms:W3CDTF">2021-10-19T13:53:00Z</dcterms:created>
  <dcterms:modified xsi:type="dcterms:W3CDTF">2021-10-19T15:27:00Z</dcterms:modified>
</cp:coreProperties>
</file>